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17E5" w14:textId="39127561" w:rsidR="00037CA6" w:rsidRDefault="00037CA6" w:rsidP="00037CA6">
      <w:pPr>
        <w:jc w:val="center"/>
        <w:outlineLvl w:val="0"/>
        <w:rPr>
          <w:b/>
          <w:sz w:val="26"/>
          <w:szCs w:val="26"/>
          <w:lang w:val="ru-RU" w:eastAsia="ru-RU"/>
        </w:rPr>
      </w:pPr>
    </w:p>
    <w:p w14:paraId="142DD804" w14:textId="77777777" w:rsidR="00D93880" w:rsidRPr="00037CA6" w:rsidRDefault="00D93880" w:rsidP="00037CA6">
      <w:pPr>
        <w:jc w:val="center"/>
        <w:outlineLvl w:val="0"/>
        <w:rPr>
          <w:b/>
          <w:sz w:val="26"/>
          <w:szCs w:val="26"/>
          <w:lang w:val="ru-RU" w:eastAsia="ru-RU"/>
        </w:rPr>
      </w:pPr>
    </w:p>
    <w:p w14:paraId="1EF364B1" w14:textId="77777777" w:rsidR="00037CA6" w:rsidRPr="00037CA6" w:rsidRDefault="00037CA6" w:rsidP="00037CA6">
      <w:pPr>
        <w:widowControl/>
        <w:tabs>
          <w:tab w:val="left" w:pos="555"/>
        </w:tabs>
        <w:autoSpaceDE/>
        <w:autoSpaceDN/>
        <w:ind w:hanging="360"/>
        <w:jc w:val="center"/>
        <w:outlineLvl w:val="0"/>
        <w:rPr>
          <w:sz w:val="28"/>
          <w:szCs w:val="28"/>
          <w:lang w:val="ru-RU" w:eastAsia="ru-RU"/>
        </w:rPr>
      </w:pPr>
      <w:r w:rsidRPr="00037CA6">
        <w:rPr>
          <w:sz w:val="28"/>
          <w:szCs w:val="28"/>
          <w:lang w:val="ru-RU" w:eastAsia="ru-RU"/>
        </w:rPr>
        <w:t xml:space="preserve">    РОССИЙСКАЯ ФЕДЕРАЦИЯ</w:t>
      </w:r>
    </w:p>
    <w:p w14:paraId="7A6A8C20" w14:textId="77777777" w:rsidR="00037CA6" w:rsidRPr="00037CA6" w:rsidRDefault="00037CA6" w:rsidP="00037CA6">
      <w:pPr>
        <w:widowControl/>
        <w:tabs>
          <w:tab w:val="left" w:pos="555"/>
        </w:tabs>
        <w:autoSpaceDE/>
        <w:autoSpaceDN/>
        <w:jc w:val="center"/>
        <w:outlineLvl w:val="0"/>
        <w:rPr>
          <w:sz w:val="28"/>
          <w:szCs w:val="28"/>
          <w:lang w:val="ru-RU" w:eastAsia="ru-RU"/>
        </w:rPr>
      </w:pPr>
      <w:r w:rsidRPr="00037CA6">
        <w:rPr>
          <w:sz w:val="28"/>
          <w:szCs w:val="28"/>
          <w:lang w:val="ru-RU" w:eastAsia="ru-RU"/>
        </w:rPr>
        <w:t>ОКРУЖНОЙ СОВЕТ ДЕПУТАТОВ</w:t>
      </w:r>
    </w:p>
    <w:p w14:paraId="648E9FCF" w14:textId="77777777" w:rsidR="00037CA6" w:rsidRPr="00037CA6" w:rsidRDefault="00037CA6" w:rsidP="00037CA6">
      <w:pPr>
        <w:widowControl/>
        <w:tabs>
          <w:tab w:val="left" w:pos="555"/>
        </w:tabs>
        <w:autoSpaceDE/>
        <w:autoSpaceDN/>
        <w:jc w:val="center"/>
        <w:outlineLvl w:val="0"/>
        <w:rPr>
          <w:sz w:val="28"/>
          <w:szCs w:val="28"/>
          <w:lang w:val="ru-RU" w:eastAsia="ru-RU"/>
        </w:rPr>
      </w:pPr>
      <w:r w:rsidRPr="00037CA6">
        <w:rPr>
          <w:sz w:val="28"/>
          <w:szCs w:val="28"/>
          <w:lang w:val="ru-RU" w:eastAsia="ru-RU"/>
        </w:rPr>
        <w:t>СОВЕТСКОГО ГОРОДСКОГО ОКРУГА</w:t>
      </w:r>
    </w:p>
    <w:p w14:paraId="5C2DE667" w14:textId="77777777" w:rsidR="00A81F6D" w:rsidRPr="005D0FAF" w:rsidRDefault="00A81F6D">
      <w:pPr>
        <w:pStyle w:val="a3"/>
        <w:rPr>
          <w:sz w:val="42"/>
          <w:lang w:val="ru-RU"/>
        </w:rPr>
      </w:pPr>
    </w:p>
    <w:p w14:paraId="67ECEC3C" w14:textId="77777777" w:rsidR="00A81F6D" w:rsidRPr="005D0FAF" w:rsidRDefault="005D0FAF">
      <w:pPr>
        <w:pStyle w:val="1"/>
        <w:ind w:left="759"/>
        <w:rPr>
          <w:lang w:val="ru-RU"/>
        </w:rPr>
      </w:pPr>
      <w:r w:rsidRPr="005D0FAF">
        <w:rPr>
          <w:lang w:val="ru-RU"/>
        </w:rPr>
        <w:t>Р Е Ш Е Н И Е</w:t>
      </w:r>
    </w:p>
    <w:p w14:paraId="072FAC71" w14:textId="54545824" w:rsidR="00A81F6D" w:rsidRPr="005D0FAF" w:rsidRDefault="005D0FAF">
      <w:pPr>
        <w:pStyle w:val="a3"/>
        <w:tabs>
          <w:tab w:val="left" w:pos="822"/>
          <w:tab w:val="left" w:pos="2497"/>
        </w:tabs>
        <w:spacing w:before="161"/>
        <w:ind w:right="129"/>
        <w:jc w:val="center"/>
        <w:rPr>
          <w:lang w:val="ru-RU"/>
        </w:rPr>
      </w:pPr>
      <w:r w:rsidRPr="005D0FAF">
        <w:rPr>
          <w:lang w:val="ru-RU"/>
        </w:rPr>
        <w:t>от «</w:t>
      </w:r>
      <w:r w:rsidR="00D93880">
        <w:rPr>
          <w:lang w:val="ru-RU"/>
        </w:rPr>
        <w:t>26</w:t>
      </w:r>
      <w:r w:rsidRPr="005D0FAF">
        <w:rPr>
          <w:lang w:val="ru-RU"/>
        </w:rPr>
        <w:t>»</w:t>
      </w:r>
      <w:r w:rsidR="00D93880" w:rsidRPr="00D93880">
        <w:rPr>
          <w:lang w:val="ru-RU"/>
        </w:rPr>
        <w:t xml:space="preserve"> октября </w:t>
      </w:r>
      <w:r w:rsidRPr="005D0FAF">
        <w:rPr>
          <w:lang w:val="ru-RU"/>
        </w:rPr>
        <w:t>2022</w:t>
      </w:r>
      <w:r w:rsidRPr="005D0FAF">
        <w:rPr>
          <w:spacing w:val="-1"/>
          <w:lang w:val="ru-RU"/>
        </w:rPr>
        <w:t xml:space="preserve"> </w:t>
      </w:r>
      <w:r w:rsidRPr="005D0FAF">
        <w:rPr>
          <w:lang w:val="ru-RU"/>
        </w:rPr>
        <w:t>года №</w:t>
      </w:r>
      <w:r w:rsidR="00D93880">
        <w:rPr>
          <w:lang w:val="ru-RU"/>
        </w:rPr>
        <w:t xml:space="preserve"> 212</w:t>
      </w:r>
    </w:p>
    <w:p w14:paraId="4AF71B14" w14:textId="77777777" w:rsidR="00A81F6D" w:rsidRPr="005D0FAF" w:rsidRDefault="00A81F6D">
      <w:pPr>
        <w:pStyle w:val="a3"/>
        <w:spacing w:before="10"/>
        <w:rPr>
          <w:sz w:val="43"/>
          <w:lang w:val="ru-RU"/>
        </w:rPr>
      </w:pPr>
    </w:p>
    <w:p w14:paraId="0A2355B8" w14:textId="77777777" w:rsidR="00A2221A" w:rsidRPr="00A2221A" w:rsidRDefault="00A2221A" w:rsidP="00A2221A">
      <w:pPr>
        <w:jc w:val="center"/>
        <w:rPr>
          <w:b/>
          <w:sz w:val="28"/>
          <w:szCs w:val="28"/>
          <w:lang w:val="ru-RU" w:eastAsia="ru-RU"/>
        </w:rPr>
      </w:pPr>
      <w:r w:rsidRPr="00A2221A">
        <w:rPr>
          <w:b/>
          <w:sz w:val="28"/>
          <w:szCs w:val="28"/>
          <w:lang w:val="ru-RU" w:eastAsia="ru-RU"/>
        </w:rPr>
        <w:t>О внесении изменений и дополнений в Положение</w:t>
      </w:r>
    </w:p>
    <w:p w14:paraId="089C19E9" w14:textId="77777777" w:rsidR="00A2221A" w:rsidRPr="00A2221A" w:rsidRDefault="00A2221A" w:rsidP="00A2221A">
      <w:pPr>
        <w:jc w:val="center"/>
        <w:rPr>
          <w:b/>
          <w:sz w:val="28"/>
          <w:szCs w:val="28"/>
          <w:lang w:val="ru-RU" w:eastAsia="ru-RU"/>
        </w:rPr>
      </w:pPr>
      <w:r w:rsidRPr="00A2221A">
        <w:rPr>
          <w:b/>
          <w:sz w:val="28"/>
          <w:szCs w:val="28"/>
          <w:lang w:val="ru-RU" w:eastAsia="ru-RU"/>
        </w:rPr>
        <w:t xml:space="preserve"> о денежном содержании и социальных гарантиях служебной деятельности председателя Контрольно-счётной комиссии</w:t>
      </w:r>
    </w:p>
    <w:p w14:paraId="679ABD9C" w14:textId="77777777" w:rsidR="00A2221A" w:rsidRPr="00A2221A" w:rsidRDefault="00A2221A" w:rsidP="00A2221A">
      <w:pPr>
        <w:jc w:val="center"/>
        <w:rPr>
          <w:b/>
          <w:sz w:val="28"/>
          <w:szCs w:val="28"/>
          <w:lang w:val="ru-RU" w:eastAsia="ru-RU"/>
        </w:rPr>
      </w:pPr>
      <w:r w:rsidRPr="00A2221A">
        <w:rPr>
          <w:b/>
          <w:sz w:val="28"/>
          <w:szCs w:val="28"/>
          <w:lang w:val="ru-RU" w:eastAsia="ru-RU"/>
        </w:rPr>
        <w:t xml:space="preserve"> Советского городского округа</w:t>
      </w:r>
    </w:p>
    <w:p w14:paraId="3668EBD4" w14:textId="77777777" w:rsidR="00A2221A" w:rsidRPr="00A2221A" w:rsidRDefault="00A2221A" w:rsidP="00A2221A">
      <w:pPr>
        <w:jc w:val="center"/>
        <w:rPr>
          <w:sz w:val="28"/>
          <w:szCs w:val="28"/>
          <w:lang w:val="ru-RU" w:eastAsia="ru-RU"/>
        </w:rPr>
      </w:pPr>
    </w:p>
    <w:p w14:paraId="722BFBE7"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Рассмотрев предложения администрации Советского городского округа, руководствуясь</w:t>
      </w:r>
      <w:r w:rsidRPr="00A2221A">
        <w:rPr>
          <w:rFonts w:ascii="Calibri" w:hAnsi="Calibri"/>
          <w:sz w:val="20"/>
          <w:szCs w:val="20"/>
          <w:lang w:val="ru-RU" w:eastAsia="ru-RU"/>
        </w:rPr>
        <w:t xml:space="preserve"> </w:t>
      </w:r>
      <w:r w:rsidRPr="00A2221A">
        <w:rPr>
          <w:sz w:val="28"/>
          <w:szCs w:val="28"/>
          <w:lang w:val="ru-RU" w:eastAsia="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N 131-ФЗ «Об общих принципах организации местного самоуправлении в Российской Федерации»,</w:t>
      </w:r>
      <w:r w:rsidRPr="00A2221A">
        <w:rPr>
          <w:rFonts w:ascii="Calibri" w:eastAsia="Calibri" w:hAnsi="Calibri"/>
          <w:lang w:val="ru-RU"/>
        </w:rPr>
        <w:t xml:space="preserve"> </w:t>
      </w:r>
      <w:r w:rsidRPr="00A2221A">
        <w:rPr>
          <w:sz w:val="28"/>
          <w:szCs w:val="28"/>
          <w:lang w:val="ru-RU" w:eastAsia="ru-RU"/>
        </w:rPr>
        <w:t>Уставом муниципального образования «Советский городской округ» Калининградской области, окружной Совет депутатов Советского городского округа</w:t>
      </w:r>
    </w:p>
    <w:p w14:paraId="1C6BCF98" w14:textId="77777777" w:rsidR="00A2221A" w:rsidRPr="00A2221A" w:rsidRDefault="00A2221A" w:rsidP="00A2221A">
      <w:pPr>
        <w:tabs>
          <w:tab w:val="left" w:pos="567"/>
        </w:tabs>
        <w:ind w:left="-284" w:firstLine="539"/>
        <w:jc w:val="both"/>
        <w:rPr>
          <w:sz w:val="28"/>
          <w:szCs w:val="28"/>
          <w:lang w:val="ru-RU" w:eastAsia="ru-RU"/>
        </w:rPr>
      </w:pPr>
    </w:p>
    <w:p w14:paraId="6F07CBAA" w14:textId="77777777" w:rsidR="00A2221A" w:rsidRPr="00A2221A" w:rsidRDefault="00A2221A" w:rsidP="00A2221A">
      <w:pPr>
        <w:spacing w:after="240" w:line="360" w:lineRule="auto"/>
        <w:ind w:firstLine="539"/>
        <w:jc w:val="center"/>
        <w:rPr>
          <w:b/>
          <w:sz w:val="28"/>
          <w:szCs w:val="28"/>
          <w:lang w:val="ru-RU" w:eastAsia="ru-RU"/>
        </w:rPr>
      </w:pPr>
      <w:r w:rsidRPr="00A2221A">
        <w:rPr>
          <w:b/>
          <w:sz w:val="28"/>
          <w:szCs w:val="28"/>
          <w:lang w:val="ru-RU" w:eastAsia="ru-RU"/>
        </w:rPr>
        <w:t>Р Е Ш И Л:</w:t>
      </w:r>
    </w:p>
    <w:p w14:paraId="191D239C" w14:textId="6E1231F2"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 xml:space="preserve">1. Внести в Положение о денежном содержании и социальных гарантиях служебной деятельности председателя Контрольно-счётной комиссии Советского городского округа, утвержденное решением окружного Совета депутатов Советского городского округа от 26.01.2022 N </w:t>
      </w:r>
      <w:r w:rsidR="00C9679F">
        <w:rPr>
          <w:sz w:val="28"/>
          <w:szCs w:val="28"/>
          <w:lang w:val="ru-RU" w:eastAsia="ru-RU"/>
        </w:rPr>
        <w:t>15</w:t>
      </w:r>
      <w:bookmarkStart w:id="0" w:name="_GoBack"/>
      <w:bookmarkEnd w:id="0"/>
      <w:r w:rsidRPr="00A2221A">
        <w:rPr>
          <w:sz w:val="28"/>
          <w:szCs w:val="28"/>
          <w:lang w:val="ru-RU" w:eastAsia="ru-RU"/>
        </w:rPr>
        <w:t>2 (далее - Положение), следующие изменения и дополнения:</w:t>
      </w:r>
    </w:p>
    <w:p w14:paraId="0DEBCC0D"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 xml:space="preserve">1.1. </w:t>
      </w:r>
      <w:bookmarkStart w:id="1" w:name="_Hlk116034308"/>
      <w:r w:rsidRPr="00A2221A">
        <w:rPr>
          <w:sz w:val="28"/>
          <w:szCs w:val="28"/>
          <w:lang w:val="ru-RU" w:eastAsia="ru-RU"/>
        </w:rPr>
        <w:t>В пункте 9 после слов «единовременной выплаты» дополнить словами «и материальной помощи»;</w:t>
      </w:r>
    </w:p>
    <w:p w14:paraId="29FFC0ED"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1.2. В пункте 10:</w:t>
      </w:r>
    </w:p>
    <w:p w14:paraId="53991266"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1) в подпункте 1 цифру «23000» заменить на цифру «25 300»;</w:t>
      </w:r>
    </w:p>
    <w:p w14:paraId="3263A5C7"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2) в подпункте 5 после слов «единовременная выплата» дополнить словами «в размере двух должностных окладов и материальная помощь</w:t>
      </w:r>
      <w:r w:rsidRPr="00A2221A">
        <w:rPr>
          <w:rFonts w:ascii="Calibri" w:hAnsi="Calibri"/>
          <w:sz w:val="20"/>
          <w:szCs w:val="20"/>
          <w:lang w:val="ru-RU" w:eastAsia="ru-RU"/>
        </w:rPr>
        <w:t xml:space="preserve"> </w:t>
      </w:r>
      <w:r w:rsidRPr="00A2221A">
        <w:rPr>
          <w:sz w:val="28"/>
          <w:szCs w:val="28"/>
          <w:lang w:val="ru-RU" w:eastAsia="ru-RU"/>
        </w:rPr>
        <w:t>в размере одного должностного оклада»;</w:t>
      </w:r>
    </w:p>
    <w:p w14:paraId="33DB8B26"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1.3. Пункт 11 изложить в следующей редакции:</w:t>
      </w:r>
    </w:p>
    <w:p w14:paraId="08761211"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 xml:space="preserve">«11. Единовременная выплата и материальная помощь при предоставлении ежегодного оплачиваемого отпуска производится один раз в год.»; </w:t>
      </w:r>
    </w:p>
    <w:p w14:paraId="349FC0D0"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 xml:space="preserve">1.4. </w:t>
      </w:r>
      <w:bookmarkStart w:id="2" w:name="_Hlk115706468"/>
      <w:r w:rsidRPr="00A2221A">
        <w:rPr>
          <w:sz w:val="28"/>
          <w:szCs w:val="28"/>
          <w:lang w:val="ru-RU" w:eastAsia="ru-RU"/>
        </w:rPr>
        <w:t>Дополнить Положение пунктом 14 следующего содержания</w:t>
      </w:r>
      <w:bookmarkEnd w:id="2"/>
      <w:r w:rsidRPr="00A2221A">
        <w:rPr>
          <w:sz w:val="28"/>
          <w:szCs w:val="28"/>
          <w:lang w:val="ru-RU" w:eastAsia="ru-RU"/>
        </w:rPr>
        <w:t>:</w:t>
      </w:r>
    </w:p>
    <w:p w14:paraId="6FB4AC99"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t xml:space="preserve">«14. </w:t>
      </w:r>
      <w:bookmarkStart w:id="3" w:name="_Hlk116044425"/>
      <w:r w:rsidRPr="00A2221A">
        <w:rPr>
          <w:sz w:val="28"/>
          <w:szCs w:val="28"/>
          <w:lang w:val="ru-RU" w:eastAsia="ru-RU"/>
        </w:rPr>
        <w:t xml:space="preserve">В соответствии с Трудовым кодексом Российской Федерации, </w:t>
      </w:r>
      <w:bookmarkEnd w:id="3"/>
      <w:r w:rsidRPr="00A2221A">
        <w:rPr>
          <w:sz w:val="28"/>
          <w:szCs w:val="28"/>
          <w:lang w:val="ru-RU" w:eastAsia="ru-RU"/>
        </w:rPr>
        <w:t>часть ежегодного оплачиваемого отпуска, превышающая 28 календарных дней, по распоряжению председателя Контрольно-счётной комиссии может быть заменена денежной компенсацией.</w:t>
      </w:r>
      <w:r w:rsidRPr="00A2221A">
        <w:rPr>
          <w:rFonts w:ascii="Calibri" w:eastAsia="Calibri" w:hAnsi="Calibri"/>
          <w:lang w:val="ru-RU"/>
        </w:rPr>
        <w:t xml:space="preserve"> </w:t>
      </w:r>
    </w:p>
    <w:p w14:paraId="014E5CE7" w14:textId="77777777" w:rsidR="00A2221A" w:rsidRPr="00A2221A" w:rsidRDefault="00A2221A" w:rsidP="00A2221A">
      <w:pPr>
        <w:tabs>
          <w:tab w:val="left" w:pos="567"/>
        </w:tabs>
        <w:ind w:firstLine="709"/>
        <w:jc w:val="both"/>
        <w:rPr>
          <w:sz w:val="28"/>
          <w:szCs w:val="28"/>
          <w:lang w:val="ru-RU" w:eastAsia="ru-RU"/>
        </w:rPr>
      </w:pPr>
      <w:r w:rsidRPr="00A2221A">
        <w:rPr>
          <w:sz w:val="28"/>
          <w:szCs w:val="28"/>
          <w:lang w:val="ru-RU" w:eastAsia="ru-RU"/>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bookmarkEnd w:id="1"/>
    <w:p w14:paraId="364EAC03" w14:textId="77777777" w:rsidR="00A2221A" w:rsidRPr="00A2221A" w:rsidRDefault="00A2221A" w:rsidP="00A2221A">
      <w:pPr>
        <w:widowControl/>
        <w:tabs>
          <w:tab w:val="left" w:pos="567"/>
        </w:tabs>
        <w:autoSpaceDE/>
        <w:autoSpaceDN/>
        <w:ind w:firstLine="709"/>
        <w:jc w:val="both"/>
        <w:rPr>
          <w:sz w:val="28"/>
          <w:szCs w:val="28"/>
          <w:lang w:val="ru-RU" w:eastAsia="ru-RU"/>
        </w:rPr>
      </w:pPr>
      <w:r w:rsidRPr="00A2221A">
        <w:rPr>
          <w:sz w:val="28"/>
          <w:szCs w:val="28"/>
          <w:lang w:val="ru-RU" w:eastAsia="ru-RU"/>
        </w:rPr>
        <w:t>2. Опубликовать настоящее решение в газете «Вестник».</w:t>
      </w:r>
    </w:p>
    <w:p w14:paraId="0329BB5F" w14:textId="77777777" w:rsidR="00A2221A" w:rsidRPr="00A2221A" w:rsidRDefault="00A2221A" w:rsidP="00A2221A">
      <w:pPr>
        <w:widowControl/>
        <w:tabs>
          <w:tab w:val="left" w:pos="567"/>
        </w:tabs>
        <w:autoSpaceDE/>
        <w:autoSpaceDN/>
        <w:ind w:firstLine="709"/>
        <w:jc w:val="both"/>
        <w:rPr>
          <w:sz w:val="28"/>
          <w:szCs w:val="28"/>
          <w:lang w:val="ru-RU" w:eastAsia="ru-RU"/>
        </w:rPr>
      </w:pPr>
      <w:r w:rsidRPr="00A2221A">
        <w:rPr>
          <w:sz w:val="28"/>
          <w:szCs w:val="28"/>
          <w:lang w:val="ru-RU" w:eastAsia="ru-RU"/>
        </w:rPr>
        <w:t>3. Решение вступает в силу после официального опубликования</w:t>
      </w:r>
      <w:r w:rsidRPr="00A2221A">
        <w:rPr>
          <w:rFonts w:ascii="Calibri" w:eastAsia="Calibri" w:hAnsi="Calibri"/>
          <w:lang w:val="ru-RU"/>
        </w:rPr>
        <w:t xml:space="preserve"> </w:t>
      </w:r>
      <w:r w:rsidRPr="00A2221A">
        <w:rPr>
          <w:sz w:val="28"/>
          <w:szCs w:val="28"/>
          <w:lang w:val="ru-RU" w:eastAsia="ru-RU"/>
        </w:rPr>
        <w:t xml:space="preserve">и распространяется на правоотношения, возникшие с 01.10.2022 г. </w:t>
      </w:r>
    </w:p>
    <w:p w14:paraId="7305E701" w14:textId="77777777" w:rsidR="00A2221A" w:rsidRPr="00A2221A" w:rsidRDefault="00A2221A" w:rsidP="00A2221A">
      <w:pPr>
        <w:widowControl/>
        <w:tabs>
          <w:tab w:val="left" w:pos="567"/>
        </w:tabs>
        <w:autoSpaceDE/>
        <w:autoSpaceDN/>
        <w:jc w:val="both"/>
        <w:rPr>
          <w:sz w:val="28"/>
          <w:szCs w:val="28"/>
          <w:lang w:val="ru-RU" w:eastAsia="ru-RU"/>
        </w:rPr>
      </w:pPr>
    </w:p>
    <w:p w14:paraId="6E020889" w14:textId="7EA22729" w:rsidR="00A81F6D" w:rsidRPr="005D0FAF" w:rsidRDefault="00A2221A" w:rsidP="00A2221A">
      <w:pPr>
        <w:pStyle w:val="1"/>
        <w:tabs>
          <w:tab w:val="left" w:pos="7096"/>
        </w:tabs>
        <w:ind w:left="101" w:right="0"/>
        <w:jc w:val="both"/>
        <w:rPr>
          <w:lang w:val="ru-RU"/>
        </w:rPr>
      </w:pPr>
      <w:r w:rsidRPr="00A2221A">
        <w:rPr>
          <w:bCs w:val="0"/>
          <w:lang w:val="ru-RU" w:eastAsia="ru-RU"/>
        </w:rPr>
        <w:t xml:space="preserve">Глава Советского городского округа                            </w:t>
      </w:r>
      <w:r>
        <w:rPr>
          <w:bCs w:val="0"/>
          <w:lang w:val="ru-RU" w:eastAsia="ru-RU"/>
        </w:rPr>
        <w:t xml:space="preserve">   </w:t>
      </w:r>
      <w:r w:rsidRPr="00A2221A">
        <w:rPr>
          <w:bCs w:val="0"/>
          <w:lang w:val="ru-RU" w:eastAsia="ru-RU"/>
        </w:rPr>
        <w:t xml:space="preserve">     Г.Ф. Соколовский</w:t>
      </w:r>
    </w:p>
    <w:sectPr w:rsidR="00A81F6D" w:rsidRPr="005D0FAF" w:rsidSect="00CD7925">
      <w:pgSz w:w="11910" w:h="16840"/>
      <w:pgMar w:top="539" w:right="618" w:bottom="1134"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E5B"/>
    <w:multiLevelType w:val="hybridMultilevel"/>
    <w:tmpl w:val="DD905BD2"/>
    <w:lvl w:ilvl="0" w:tplc="F3F20CB4">
      <w:start w:val="1"/>
      <w:numFmt w:val="decimal"/>
      <w:lvlText w:val="%1)"/>
      <w:lvlJc w:val="left"/>
      <w:pPr>
        <w:ind w:left="1113" w:hanging="304"/>
        <w:jc w:val="left"/>
      </w:pPr>
      <w:rPr>
        <w:rFonts w:ascii="Times New Roman" w:eastAsia="Times New Roman" w:hAnsi="Times New Roman" w:cs="Times New Roman" w:hint="default"/>
        <w:w w:val="100"/>
        <w:sz w:val="28"/>
        <w:szCs w:val="28"/>
      </w:rPr>
    </w:lvl>
    <w:lvl w:ilvl="1" w:tplc="A158471E">
      <w:numFmt w:val="bullet"/>
      <w:lvlText w:val="•"/>
      <w:lvlJc w:val="left"/>
      <w:pPr>
        <w:ind w:left="1976" w:hanging="304"/>
      </w:pPr>
      <w:rPr>
        <w:rFonts w:hint="default"/>
      </w:rPr>
    </w:lvl>
    <w:lvl w:ilvl="2" w:tplc="E0246CA4">
      <w:numFmt w:val="bullet"/>
      <w:lvlText w:val="•"/>
      <w:lvlJc w:val="left"/>
      <w:pPr>
        <w:ind w:left="2833" w:hanging="304"/>
      </w:pPr>
      <w:rPr>
        <w:rFonts w:hint="default"/>
      </w:rPr>
    </w:lvl>
    <w:lvl w:ilvl="3" w:tplc="62AA84A0">
      <w:numFmt w:val="bullet"/>
      <w:lvlText w:val="•"/>
      <w:lvlJc w:val="left"/>
      <w:pPr>
        <w:ind w:left="3689" w:hanging="304"/>
      </w:pPr>
      <w:rPr>
        <w:rFonts w:hint="default"/>
      </w:rPr>
    </w:lvl>
    <w:lvl w:ilvl="4" w:tplc="96E2C992">
      <w:numFmt w:val="bullet"/>
      <w:lvlText w:val="•"/>
      <w:lvlJc w:val="left"/>
      <w:pPr>
        <w:ind w:left="4546" w:hanging="304"/>
      </w:pPr>
      <w:rPr>
        <w:rFonts w:hint="default"/>
      </w:rPr>
    </w:lvl>
    <w:lvl w:ilvl="5" w:tplc="884EBBD0">
      <w:numFmt w:val="bullet"/>
      <w:lvlText w:val="•"/>
      <w:lvlJc w:val="left"/>
      <w:pPr>
        <w:ind w:left="5403" w:hanging="304"/>
      </w:pPr>
      <w:rPr>
        <w:rFonts w:hint="default"/>
      </w:rPr>
    </w:lvl>
    <w:lvl w:ilvl="6" w:tplc="B0568802">
      <w:numFmt w:val="bullet"/>
      <w:lvlText w:val="•"/>
      <w:lvlJc w:val="left"/>
      <w:pPr>
        <w:ind w:left="6259" w:hanging="304"/>
      </w:pPr>
      <w:rPr>
        <w:rFonts w:hint="default"/>
      </w:rPr>
    </w:lvl>
    <w:lvl w:ilvl="7" w:tplc="5BF88C64">
      <w:numFmt w:val="bullet"/>
      <w:lvlText w:val="•"/>
      <w:lvlJc w:val="left"/>
      <w:pPr>
        <w:ind w:left="7116" w:hanging="304"/>
      </w:pPr>
      <w:rPr>
        <w:rFonts w:hint="default"/>
      </w:rPr>
    </w:lvl>
    <w:lvl w:ilvl="8" w:tplc="623065F8">
      <w:numFmt w:val="bullet"/>
      <w:lvlText w:val="•"/>
      <w:lvlJc w:val="left"/>
      <w:pPr>
        <w:ind w:left="7972" w:hanging="304"/>
      </w:pPr>
      <w:rPr>
        <w:rFonts w:hint="default"/>
      </w:rPr>
    </w:lvl>
  </w:abstractNum>
  <w:abstractNum w:abstractNumId="1" w15:restartNumberingAfterBreak="0">
    <w:nsid w:val="23BF1B80"/>
    <w:multiLevelType w:val="multilevel"/>
    <w:tmpl w:val="A7A86560"/>
    <w:lvl w:ilvl="0">
      <w:start w:val="1"/>
      <w:numFmt w:val="decimal"/>
      <w:lvlText w:val="%1."/>
      <w:lvlJc w:val="left"/>
      <w:pPr>
        <w:ind w:left="101" w:hanging="269"/>
        <w:jc w:val="left"/>
      </w:pPr>
      <w:rPr>
        <w:rFonts w:ascii="Times New Roman" w:eastAsia="Times New Roman" w:hAnsi="Times New Roman" w:cs="Times New Roman" w:hint="default"/>
        <w:w w:val="100"/>
        <w:sz w:val="28"/>
        <w:szCs w:val="28"/>
      </w:rPr>
    </w:lvl>
    <w:lvl w:ilvl="1">
      <w:start w:val="1"/>
      <w:numFmt w:val="decimal"/>
      <w:lvlText w:val="%1.%2."/>
      <w:lvlJc w:val="left"/>
      <w:pPr>
        <w:ind w:left="1300" w:hanging="490"/>
        <w:jc w:val="left"/>
      </w:pPr>
      <w:rPr>
        <w:rFonts w:ascii="Times New Roman" w:eastAsia="Times New Roman" w:hAnsi="Times New Roman" w:cs="Times New Roman" w:hint="default"/>
        <w:w w:val="100"/>
        <w:sz w:val="28"/>
        <w:szCs w:val="28"/>
      </w:rPr>
    </w:lvl>
    <w:lvl w:ilvl="2">
      <w:numFmt w:val="bullet"/>
      <w:lvlText w:val="•"/>
      <w:lvlJc w:val="left"/>
      <w:pPr>
        <w:ind w:left="2231" w:hanging="490"/>
      </w:pPr>
      <w:rPr>
        <w:rFonts w:hint="default"/>
      </w:rPr>
    </w:lvl>
    <w:lvl w:ilvl="3">
      <w:numFmt w:val="bullet"/>
      <w:lvlText w:val="•"/>
      <w:lvlJc w:val="left"/>
      <w:pPr>
        <w:ind w:left="3163" w:hanging="490"/>
      </w:pPr>
      <w:rPr>
        <w:rFonts w:hint="default"/>
      </w:rPr>
    </w:lvl>
    <w:lvl w:ilvl="4">
      <w:numFmt w:val="bullet"/>
      <w:lvlText w:val="•"/>
      <w:lvlJc w:val="left"/>
      <w:pPr>
        <w:ind w:left="4095" w:hanging="490"/>
      </w:pPr>
      <w:rPr>
        <w:rFonts w:hint="default"/>
      </w:rPr>
    </w:lvl>
    <w:lvl w:ilvl="5">
      <w:numFmt w:val="bullet"/>
      <w:lvlText w:val="•"/>
      <w:lvlJc w:val="left"/>
      <w:pPr>
        <w:ind w:left="5027" w:hanging="490"/>
      </w:pPr>
      <w:rPr>
        <w:rFonts w:hint="default"/>
      </w:rPr>
    </w:lvl>
    <w:lvl w:ilvl="6">
      <w:numFmt w:val="bullet"/>
      <w:lvlText w:val="•"/>
      <w:lvlJc w:val="left"/>
      <w:pPr>
        <w:ind w:left="5958" w:hanging="490"/>
      </w:pPr>
      <w:rPr>
        <w:rFonts w:hint="default"/>
      </w:rPr>
    </w:lvl>
    <w:lvl w:ilvl="7">
      <w:numFmt w:val="bullet"/>
      <w:lvlText w:val="•"/>
      <w:lvlJc w:val="left"/>
      <w:pPr>
        <w:ind w:left="6890" w:hanging="490"/>
      </w:pPr>
      <w:rPr>
        <w:rFonts w:hint="default"/>
      </w:rPr>
    </w:lvl>
    <w:lvl w:ilvl="8">
      <w:numFmt w:val="bullet"/>
      <w:lvlText w:val="•"/>
      <w:lvlJc w:val="left"/>
      <w:pPr>
        <w:ind w:left="7822" w:hanging="490"/>
      </w:pPr>
      <w:rPr>
        <w:rFonts w:hint="default"/>
      </w:rPr>
    </w:lvl>
  </w:abstractNum>
  <w:abstractNum w:abstractNumId="2" w15:restartNumberingAfterBreak="0">
    <w:nsid w:val="299E3D85"/>
    <w:multiLevelType w:val="hybridMultilevel"/>
    <w:tmpl w:val="9AEE4778"/>
    <w:lvl w:ilvl="0" w:tplc="367E0D9E">
      <w:start w:val="1"/>
      <w:numFmt w:val="decimal"/>
      <w:lvlText w:val="%1)"/>
      <w:lvlJc w:val="left"/>
      <w:pPr>
        <w:ind w:left="101" w:hanging="305"/>
        <w:jc w:val="left"/>
      </w:pPr>
      <w:rPr>
        <w:rFonts w:ascii="Times New Roman" w:eastAsia="Times New Roman" w:hAnsi="Times New Roman" w:cs="Times New Roman" w:hint="default"/>
        <w:w w:val="100"/>
        <w:sz w:val="28"/>
        <w:szCs w:val="28"/>
      </w:rPr>
    </w:lvl>
    <w:lvl w:ilvl="1" w:tplc="C0FC2DC4">
      <w:numFmt w:val="bullet"/>
      <w:lvlText w:val="•"/>
      <w:lvlJc w:val="left"/>
      <w:pPr>
        <w:ind w:left="1058" w:hanging="305"/>
      </w:pPr>
      <w:rPr>
        <w:rFonts w:hint="default"/>
      </w:rPr>
    </w:lvl>
    <w:lvl w:ilvl="2" w:tplc="42E4770E">
      <w:numFmt w:val="bullet"/>
      <w:lvlText w:val="•"/>
      <w:lvlJc w:val="left"/>
      <w:pPr>
        <w:ind w:left="2017" w:hanging="305"/>
      </w:pPr>
      <w:rPr>
        <w:rFonts w:hint="default"/>
      </w:rPr>
    </w:lvl>
    <w:lvl w:ilvl="3" w:tplc="CD9A2D8A">
      <w:numFmt w:val="bullet"/>
      <w:lvlText w:val="•"/>
      <w:lvlJc w:val="left"/>
      <w:pPr>
        <w:ind w:left="2975" w:hanging="305"/>
      </w:pPr>
      <w:rPr>
        <w:rFonts w:hint="default"/>
      </w:rPr>
    </w:lvl>
    <w:lvl w:ilvl="4" w:tplc="6B8A1BC4">
      <w:numFmt w:val="bullet"/>
      <w:lvlText w:val="•"/>
      <w:lvlJc w:val="left"/>
      <w:pPr>
        <w:ind w:left="3934" w:hanging="305"/>
      </w:pPr>
      <w:rPr>
        <w:rFonts w:hint="default"/>
      </w:rPr>
    </w:lvl>
    <w:lvl w:ilvl="5" w:tplc="82C2E820">
      <w:numFmt w:val="bullet"/>
      <w:lvlText w:val="•"/>
      <w:lvlJc w:val="left"/>
      <w:pPr>
        <w:ind w:left="4893" w:hanging="305"/>
      </w:pPr>
      <w:rPr>
        <w:rFonts w:hint="default"/>
      </w:rPr>
    </w:lvl>
    <w:lvl w:ilvl="6" w:tplc="DB62BF6C">
      <w:numFmt w:val="bullet"/>
      <w:lvlText w:val="•"/>
      <w:lvlJc w:val="left"/>
      <w:pPr>
        <w:ind w:left="5851" w:hanging="305"/>
      </w:pPr>
      <w:rPr>
        <w:rFonts w:hint="default"/>
      </w:rPr>
    </w:lvl>
    <w:lvl w:ilvl="7" w:tplc="4CB66254">
      <w:numFmt w:val="bullet"/>
      <w:lvlText w:val="•"/>
      <w:lvlJc w:val="left"/>
      <w:pPr>
        <w:ind w:left="6810" w:hanging="305"/>
      </w:pPr>
      <w:rPr>
        <w:rFonts w:hint="default"/>
      </w:rPr>
    </w:lvl>
    <w:lvl w:ilvl="8" w:tplc="AE0A3F52">
      <w:numFmt w:val="bullet"/>
      <w:lvlText w:val="•"/>
      <w:lvlJc w:val="left"/>
      <w:pPr>
        <w:ind w:left="7768" w:hanging="30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6D"/>
    <w:rsid w:val="00037CA6"/>
    <w:rsid w:val="005D0FAF"/>
    <w:rsid w:val="00796E8C"/>
    <w:rsid w:val="00A2221A"/>
    <w:rsid w:val="00A81F6D"/>
    <w:rsid w:val="00C9679F"/>
    <w:rsid w:val="00CD7925"/>
    <w:rsid w:val="00D93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0FEA"/>
  <w15:docId w15:val="{6BC6916D-DF5A-4136-B75A-E5F57BD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760" w:right="8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1" w:hanging="49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5</cp:revision>
  <cp:lastPrinted>2022-10-26T10:00:00Z</cp:lastPrinted>
  <dcterms:created xsi:type="dcterms:W3CDTF">2022-10-26T08:11:00Z</dcterms:created>
  <dcterms:modified xsi:type="dcterms:W3CDTF">2022-10-26T13:26:00Z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Aspose Ltd.</vt:lpwstr>
  </property>
  <property fmtid="{D5CDD505-2E9C-101B-9397-08002B2CF9AE}" pid="4" name="LastSaved">
    <vt:filetime>2022-10-25T00:00:00Z</vt:filetime>
  </property>
</Properties>
</file>